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lang w:val="en-US" w:eastAsia="zh-CN"/>
        </w:rPr>
      </w:pPr>
      <w:bookmarkStart w:id="0" w:name="_Hlk127531451"/>
      <w:bookmarkEnd w:id="0"/>
      <w:bookmarkStart w:id="1" w:name="OLE_LINK6"/>
      <w:bookmarkStart w:id="2" w:name="OLE_LINK5"/>
      <w:bookmarkStart w:id="3" w:name="OLE_LINK7"/>
      <w:r>
        <w:rPr>
          <w:rFonts w:hint="default" w:ascii="Arial" w:hAnsi="Arial" w:cs="Arial" w:eastAsiaTheme="minorEastAsia"/>
          <w:b/>
          <w:sz w:val="24"/>
          <w:szCs w:val="24"/>
          <w:lang w:eastAsia="zh-CN"/>
        </w:rPr>
        <w:t>3GPP TSG-RAN WG4 Meeting #11</w:t>
      </w:r>
      <w:r>
        <w:rPr>
          <w:rFonts w:hint="default" w:ascii="Arial" w:hAnsi="Arial" w:cs="Arial" w:eastAsiaTheme="minorEastAsia"/>
          <w:b/>
          <w:sz w:val="24"/>
          <w:szCs w:val="24"/>
          <w:lang w:val="en-US" w:eastAsia="zh-CN"/>
        </w:rPr>
        <w:t>6</w:t>
      </w:r>
      <w:r>
        <w:rPr>
          <w:rFonts w:hint="eastAsia" w:ascii="Arial" w:hAnsi="Arial" w:cs="Arial" w:eastAsiaTheme="minorEastAsia"/>
          <w:b/>
          <w:sz w:val="24"/>
          <w:szCs w:val="24"/>
          <w:lang w:val="en-US" w:eastAsia="zh-CN"/>
        </w:rPr>
        <w:t>bis</w:t>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eastAsia="zh-CN"/>
        </w:rPr>
        <w:tab/>
      </w:r>
      <w:r>
        <w:rPr>
          <w:rFonts w:hint="default" w:ascii="Arial" w:hAnsi="Arial" w:cs="Arial" w:eastAsiaTheme="minorEastAsia"/>
          <w:b/>
          <w:sz w:val="24"/>
          <w:szCs w:val="24"/>
          <w:lang w:val="en-US" w:eastAsia="zh-CN"/>
        </w:rPr>
        <w:t xml:space="preserve">  </w:t>
      </w:r>
      <w:r>
        <w:rPr>
          <w:rFonts w:hint="default" w:ascii="Arial" w:hAnsi="Arial" w:cs="Arial" w:eastAsiaTheme="minorEastAsia"/>
          <w:b/>
          <w:sz w:val="24"/>
          <w:szCs w:val="24"/>
          <w:lang w:eastAsia="zh-CN"/>
        </w:rPr>
        <w:t>R4-</w:t>
      </w:r>
      <w:bookmarkStart w:id="11" w:name="_GoBack"/>
      <w:r>
        <w:rPr>
          <w:rFonts w:hint="default" w:ascii="Arial" w:hAnsi="Arial" w:cs="Arial" w:eastAsiaTheme="minorEastAsia"/>
          <w:b/>
          <w:sz w:val="24"/>
          <w:szCs w:val="24"/>
          <w:lang w:val="en-US" w:eastAsia="zh-CN"/>
        </w:rPr>
        <w:t>25</w:t>
      </w:r>
      <w:r>
        <w:rPr>
          <w:rFonts w:hint="eastAsia" w:ascii="Arial" w:hAnsi="Arial" w:cs="Arial" w:eastAsiaTheme="minorEastAsia"/>
          <w:b/>
          <w:sz w:val="24"/>
          <w:szCs w:val="24"/>
          <w:lang w:val="en-US" w:eastAsia="zh-CN"/>
        </w:rPr>
        <w:t>13812</w:t>
      </w:r>
      <w:bookmarkEnd w:id="11"/>
    </w:p>
    <w:p w14:paraId="5B870C7D">
      <w:pPr>
        <w:spacing w:after="120"/>
        <w:ind w:left="1985" w:hanging="1985"/>
        <w:rPr>
          <w:rFonts w:ascii="Arial" w:hAnsi="Arial" w:cs="Arial" w:eastAsiaTheme="minorEastAsia"/>
          <w:b/>
          <w:sz w:val="24"/>
          <w:szCs w:val="24"/>
          <w:lang w:val="en-US" w:eastAsia="zh-CN"/>
        </w:rPr>
      </w:pPr>
      <w:bookmarkStart w:id="4" w:name="OLE_LINK1"/>
      <w:r>
        <w:rPr>
          <w:rFonts w:ascii="Arial" w:hAnsi="Arial" w:cs="Arial"/>
          <w:b/>
          <w:sz w:val="24"/>
        </w:rPr>
        <w:t>Prague, Czech Republic, 13 – 17 October, 2025</w:t>
      </w:r>
    </w:p>
    <w:bookmarkEnd w:id="4"/>
    <w:p w14:paraId="12601FD5">
      <w:pPr>
        <w:tabs>
          <w:tab w:val="left" w:pos="2160"/>
        </w:tabs>
        <w:spacing w:before="180"/>
        <w:rPr>
          <w:rFonts w:hint="default" w:ascii="Arial" w:hAnsi="Arial" w:eastAsia="宋体" w:cs="Arial"/>
          <w:b/>
          <w:sz w:val="24"/>
          <w:szCs w:val="24"/>
          <w:lang w:val="en-US" w:eastAsia="zh-CN"/>
        </w:rPr>
      </w:pPr>
      <w:r>
        <w:rPr>
          <w:rFonts w:hint="default" w:ascii="Arial" w:hAnsi="Arial" w:cs="Arial"/>
          <w:b/>
          <w:sz w:val="24"/>
          <w:szCs w:val="24"/>
        </w:rPr>
        <w:t>Agenda item:</w:t>
      </w:r>
      <w:r>
        <w:rPr>
          <w:rFonts w:hint="default" w:ascii="Arial" w:hAnsi="Arial" w:cs="Arial"/>
          <w:b/>
          <w:sz w:val="24"/>
          <w:szCs w:val="24"/>
        </w:rPr>
        <w:tab/>
      </w:r>
      <w:r>
        <w:rPr>
          <w:rFonts w:hint="default" w:ascii="Arial" w:hAnsi="Arial" w:eastAsia="宋体" w:cs="Arial"/>
          <w:b/>
          <w:sz w:val="24"/>
          <w:szCs w:val="24"/>
          <w:lang w:val="en-US" w:eastAsia="zh-CN"/>
        </w:rPr>
        <w:t>7.</w:t>
      </w:r>
      <w:r>
        <w:rPr>
          <w:rFonts w:hint="eastAsia" w:ascii="Arial" w:hAnsi="Arial" w:eastAsia="宋体" w:cs="Arial"/>
          <w:b/>
          <w:sz w:val="24"/>
          <w:szCs w:val="24"/>
          <w:lang w:val="en-US" w:eastAsia="zh-CN"/>
        </w:rPr>
        <w:t>3.3</w:t>
      </w:r>
    </w:p>
    <w:p w14:paraId="185D1CC5">
      <w:pPr>
        <w:tabs>
          <w:tab w:val="left" w:pos="2160"/>
        </w:tabs>
        <w:rPr>
          <w:rFonts w:hint="default" w:ascii="Arial" w:hAnsi="Arial" w:eastAsia="宋体" w:cs="Arial"/>
          <w:b/>
          <w:sz w:val="24"/>
          <w:szCs w:val="24"/>
          <w:lang w:val="en-US" w:eastAsia="zh-CN"/>
        </w:rPr>
      </w:pPr>
      <w:bookmarkStart w:id="5" w:name="OLE_LINK9"/>
      <w:r>
        <w:rPr>
          <w:rFonts w:hint="default" w:ascii="Arial" w:hAnsi="Arial" w:cs="Arial"/>
          <w:b/>
          <w:sz w:val="24"/>
          <w:szCs w:val="24"/>
        </w:rPr>
        <w:t>Source:</w:t>
      </w:r>
      <w:r>
        <w:rPr>
          <w:rFonts w:hint="default" w:ascii="Arial" w:hAnsi="Arial" w:cs="Arial"/>
          <w:b/>
          <w:sz w:val="24"/>
          <w:szCs w:val="24"/>
        </w:rPr>
        <w:tab/>
      </w:r>
      <w:bookmarkStart w:id="6" w:name="OLE_LINK12"/>
      <w:r>
        <w:rPr>
          <w:rFonts w:hint="default" w:ascii="Arial" w:hAnsi="Arial" w:cs="Arial"/>
          <w:b/>
          <w:sz w:val="24"/>
          <w:szCs w:val="24"/>
        </w:rPr>
        <w:t>CAICT</w:t>
      </w:r>
      <w:bookmarkEnd w:id="6"/>
    </w:p>
    <w:bookmarkEnd w:id="5"/>
    <w:p w14:paraId="698D2C71">
      <w:pPr>
        <w:tabs>
          <w:tab w:val="left" w:pos="2160"/>
        </w:tabs>
        <w:rPr>
          <w:rFonts w:hint="default" w:ascii="Arial" w:hAnsi="Arial" w:cs="Arial"/>
          <w:b/>
          <w:szCs w:val="24"/>
          <w:highlight w:val="yellow"/>
          <w:lang w:val="en-US"/>
        </w:rPr>
      </w:pPr>
      <w:r>
        <w:rPr>
          <w:rFonts w:hint="default" w:ascii="Arial" w:hAnsi="Arial" w:cs="Arial"/>
          <w:b/>
          <w:sz w:val="24"/>
          <w:szCs w:val="24"/>
        </w:rPr>
        <w:t>Title:</w:t>
      </w:r>
      <w:r>
        <w:rPr>
          <w:rFonts w:hint="default" w:ascii="Arial" w:hAnsi="Arial" w:cs="Arial"/>
          <w:b/>
          <w:sz w:val="24"/>
          <w:szCs w:val="24"/>
        </w:rPr>
        <w:tab/>
      </w:r>
      <w:bookmarkStart w:id="7" w:name="OLE_LINK8"/>
      <w:r>
        <w:rPr>
          <w:rFonts w:hint="default" w:ascii="Arial" w:hAnsi="Arial" w:eastAsia="宋体" w:cs="Arial"/>
          <w:b/>
          <w:sz w:val="24"/>
          <w:szCs w:val="24"/>
          <w:highlight w:val="none"/>
          <w:lang w:val="en-US" w:eastAsia="zh-CN"/>
        </w:rPr>
        <w:t>Discussion o</w:t>
      </w:r>
      <w:r>
        <w:rPr>
          <w:rFonts w:hint="default" w:ascii="Arial" w:hAnsi="Arial" w:cs="Arial"/>
          <w:b/>
          <w:sz w:val="24"/>
          <w:szCs w:val="24"/>
          <w:highlight w:val="none"/>
        </w:rPr>
        <w:t xml:space="preserve">n </w:t>
      </w:r>
      <w:r>
        <w:rPr>
          <w:rFonts w:hint="eastAsia" w:ascii="Arial" w:hAnsi="Arial" w:eastAsia="宋体" w:cs="Arial"/>
          <w:b/>
          <w:sz w:val="24"/>
          <w:szCs w:val="24"/>
          <w:highlight w:val="none"/>
          <w:lang w:val="en-US" w:eastAsia="zh-CN"/>
        </w:rPr>
        <w:t>OTA test method for NTN Ka and Ku bands</w:t>
      </w:r>
      <w:r>
        <w:rPr>
          <w:rFonts w:hint="default" w:ascii="Arial" w:hAnsi="Arial" w:eastAsia="宋体" w:cs="Arial"/>
          <w:b/>
          <w:sz w:val="24"/>
          <w:szCs w:val="24"/>
          <w:highlight w:val="none"/>
          <w:lang w:val="en-US" w:eastAsia="zh-CN"/>
        </w:rPr>
        <w:t xml:space="preserve"> </w:t>
      </w:r>
    </w:p>
    <w:bookmarkEnd w:id="7"/>
    <w:p w14:paraId="11B7221F">
      <w:pPr>
        <w:tabs>
          <w:tab w:val="left" w:pos="2160"/>
        </w:tabs>
        <w:rPr>
          <w:rFonts w:hint="default" w:ascii="Arial" w:hAnsi="Arial" w:cs="Arial"/>
          <w:b/>
          <w:sz w:val="24"/>
          <w:szCs w:val="24"/>
        </w:rPr>
      </w:pPr>
      <w:r>
        <w:rPr>
          <w:rFonts w:hint="default" w:ascii="Arial" w:hAnsi="Arial" w:cs="Arial"/>
          <w:b/>
          <w:sz w:val="24"/>
          <w:szCs w:val="24"/>
        </w:rPr>
        <w:t>Document for:</w:t>
      </w:r>
      <w:r>
        <w:rPr>
          <w:rFonts w:hint="default" w:ascii="Arial" w:hAnsi="Arial" w:cs="Arial"/>
          <w:b/>
          <w:sz w:val="24"/>
          <w:szCs w:val="24"/>
        </w:rPr>
        <w:tab/>
      </w:r>
      <w:r>
        <w:rPr>
          <w:rFonts w:hint="default" w:ascii="Arial" w:hAnsi="Arial" w:cs="Arial"/>
          <w:b/>
          <w:sz w:val="24"/>
          <w:szCs w:val="24"/>
        </w:rPr>
        <w:t>Approval</w:t>
      </w:r>
    </w:p>
    <w:p w14:paraId="4CE3F22E">
      <w:pPr>
        <w:pStyle w:val="2"/>
      </w:pPr>
      <w:r>
        <w:t>1</w:t>
      </w:r>
      <w:r>
        <w:tab/>
      </w:r>
      <w:r>
        <w:t>Introduction</w:t>
      </w:r>
      <w:bookmarkStart w:id="8" w:name="OLE_LINK15"/>
      <w:bookmarkStart w:id="9" w:name="OLE_LINK4"/>
    </w:p>
    <w:bookmarkEnd w:id="8"/>
    <w:bookmarkEnd w:id="9"/>
    <w:p w14:paraId="66A01AA3">
      <w:pPr>
        <w:jc w:val="both"/>
        <w:rPr>
          <w:rFonts w:hint="default" w:eastAsiaTheme="minorEastAsia"/>
          <w:highlight w:val="none"/>
          <w:lang w:val="en-US" w:eastAsia="zh-CN"/>
        </w:rPr>
      </w:pPr>
      <w:r>
        <w:rPr>
          <w:rFonts w:hint="eastAsia" w:eastAsiaTheme="minorEastAsia"/>
          <w:highlight w:val="none"/>
          <w:lang w:val="en-US" w:eastAsia="zh-CN"/>
        </w:rPr>
        <w:t>At RAN#109 in Beijing, 3GPP approved the new OTA WI for Rel-20 [1], the core part objectives are listed as below:</w:t>
      </w:r>
    </w:p>
    <w:tbl>
      <w:tblPr>
        <w:tblStyle w:val="9"/>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88DA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vAlign w:val="top"/>
          </w:tcPr>
          <w:p w14:paraId="1B4C64DA">
            <w:pPr>
              <w:rPr>
                <w:iCs/>
              </w:rPr>
            </w:pPr>
            <w:r>
              <w:rPr>
                <w:iCs/>
              </w:rPr>
              <w:t>Objectives for this core part work item are as follows</w:t>
            </w:r>
          </w:p>
          <w:p w14:paraId="2C32E047">
            <w:pPr>
              <w:pStyle w:val="16"/>
              <w:numPr>
                <w:ilvl w:val="0"/>
                <w:numId w:val="1"/>
              </w:numPr>
              <w:spacing w:after="120"/>
              <w:ind w:firstLineChars="0"/>
              <w:contextualSpacing/>
              <w:rPr>
                <w:rFonts w:ascii="Times New Roman" w:hAnsi="Times New Roman"/>
                <w:sz w:val="20"/>
                <w:szCs w:val="20"/>
              </w:rPr>
            </w:pPr>
            <w:r>
              <w:rPr>
                <w:rFonts w:ascii="Times New Roman" w:hAnsi="Times New Roman"/>
                <w:sz w:val="20"/>
                <w:szCs w:val="20"/>
              </w:rPr>
              <w:t xml:space="preserve">Define </w:t>
            </w:r>
            <w:r>
              <w:rPr>
                <w:rFonts w:hint="eastAsia" w:ascii="Times New Roman" w:hAnsi="Times New Roman"/>
                <w:sz w:val="20"/>
                <w:szCs w:val="20"/>
              </w:rPr>
              <w:t xml:space="preserve">enhanced </w:t>
            </w:r>
            <w:r>
              <w:rPr>
                <w:rFonts w:ascii="Times New Roman" w:hAnsi="Times New Roman"/>
                <w:sz w:val="20"/>
                <w:szCs w:val="20"/>
              </w:rPr>
              <w:t xml:space="preserve">test methodologies to cover NTN Ka and Ku bands </w:t>
            </w:r>
          </w:p>
          <w:p w14:paraId="11B56FB3">
            <w:pPr>
              <w:pStyle w:val="16"/>
              <w:numPr>
                <w:ilvl w:val="1"/>
                <w:numId w:val="1"/>
              </w:numPr>
              <w:overflowPunct w:val="0"/>
              <w:autoSpaceDE w:val="0"/>
              <w:autoSpaceDN w:val="0"/>
              <w:adjustRightInd w:val="0"/>
              <w:spacing w:after="120"/>
              <w:ind w:firstLineChars="0"/>
              <w:contextualSpacing/>
              <w:textAlignment w:val="baseline"/>
              <w:rPr>
                <w:rFonts w:ascii="Times New Roman" w:hAnsi="Times New Roman"/>
                <w:sz w:val="20"/>
                <w:szCs w:val="20"/>
              </w:rPr>
            </w:pPr>
            <w:r>
              <w:rPr>
                <w:rFonts w:ascii="Times New Roman" w:hAnsi="Times New Roman"/>
                <w:sz w:val="20"/>
                <w:szCs w:val="20"/>
              </w:rPr>
              <w:t>Study how to extend the applicability of RAN4 defined OTA test methods</w:t>
            </w:r>
            <w:r>
              <w:rPr>
                <w:rFonts w:hint="eastAsia" w:ascii="Times New Roman" w:hAnsi="Times New Roman"/>
                <w:sz w:val="20"/>
                <w:szCs w:val="20"/>
              </w:rPr>
              <w:t xml:space="preserve"> to support Ku and Ka testing</w:t>
            </w:r>
          </w:p>
          <w:p w14:paraId="267E3264">
            <w:pPr>
              <w:pStyle w:val="16"/>
              <w:numPr>
                <w:ilvl w:val="2"/>
                <w:numId w:val="1"/>
              </w:numPr>
              <w:overflowPunct w:val="0"/>
              <w:autoSpaceDE w:val="0"/>
              <w:autoSpaceDN w:val="0"/>
              <w:adjustRightInd w:val="0"/>
              <w:spacing w:after="120"/>
              <w:ind w:firstLineChars="0"/>
              <w:contextualSpacing/>
              <w:textAlignment w:val="baseline"/>
              <w:rPr>
                <w:rFonts w:ascii="Times New Roman" w:hAnsi="Times New Roman"/>
                <w:sz w:val="20"/>
                <w:szCs w:val="20"/>
              </w:rPr>
            </w:pPr>
            <w:r>
              <w:rPr>
                <w:rFonts w:ascii="Times New Roman" w:hAnsi="Times New Roman"/>
                <w:sz w:val="20"/>
                <w:szCs w:val="20"/>
              </w:rPr>
              <w:t>FR2 OTA test methods (DFF, IFF, NFTF) extension is the first priority</w:t>
            </w:r>
          </w:p>
          <w:p w14:paraId="2FFFC410">
            <w:pPr>
              <w:pStyle w:val="16"/>
              <w:numPr>
                <w:ilvl w:val="2"/>
                <w:numId w:val="1"/>
              </w:numPr>
              <w:overflowPunct w:val="0"/>
              <w:autoSpaceDE w:val="0"/>
              <w:autoSpaceDN w:val="0"/>
              <w:adjustRightInd w:val="0"/>
              <w:spacing w:after="120"/>
              <w:ind w:firstLineChars="0"/>
              <w:contextualSpacing/>
              <w:textAlignment w:val="baseline"/>
              <w:rPr>
                <w:rFonts w:ascii="Times New Roman" w:hAnsi="Times New Roman"/>
                <w:sz w:val="20"/>
                <w:szCs w:val="20"/>
              </w:rPr>
            </w:pPr>
            <w:r>
              <w:rPr>
                <w:rFonts w:ascii="Times New Roman" w:hAnsi="Times New Roman"/>
                <w:sz w:val="20"/>
                <w:szCs w:val="20"/>
              </w:rPr>
              <w:t>FR1 OTA test method extension is not precluded, if also applicable</w:t>
            </w:r>
          </w:p>
          <w:p w14:paraId="29B7B4EF">
            <w:pPr>
              <w:pStyle w:val="16"/>
              <w:numPr>
                <w:ilvl w:val="1"/>
                <w:numId w:val="1"/>
              </w:numPr>
              <w:overflowPunct w:val="0"/>
              <w:autoSpaceDE w:val="0"/>
              <w:autoSpaceDN w:val="0"/>
              <w:adjustRightInd w:val="0"/>
              <w:spacing w:after="120"/>
              <w:ind w:firstLineChars="0"/>
              <w:contextualSpacing/>
              <w:textAlignment w:val="baseline"/>
              <w:rPr>
                <w:rFonts w:ascii="Times New Roman" w:hAnsi="Times New Roman"/>
                <w:sz w:val="20"/>
                <w:szCs w:val="20"/>
              </w:rPr>
            </w:pPr>
            <w:r>
              <w:rPr>
                <w:rFonts w:ascii="Times New Roman" w:hAnsi="Times New Roman"/>
                <w:sz w:val="20"/>
                <w:szCs w:val="20"/>
              </w:rPr>
              <w:t>Study whether and how to support circular polarization measurements</w:t>
            </w:r>
          </w:p>
          <w:p w14:paraId="3970FF50">
            <w:pPr>
              <w:pStyle w:val="16"/>
              <w:numPr>
                <w:ilvl w:val="2"/>
                <w:numId w:val="1"/>
              </w:numPr>
              <w:overflowPunct w:val="0"/>
              <w:autoSpaceDE w:val="0"/>
              <w:autoSpaceDN w:val="0"/>
              <w:adjustRightInd w:val="0"/>
              <w:spacing w:after="120"/>
              <w:ind w:left="2154" w:hanging="357" w:firstLineChars="0"/>
              <w:contextualSpacing/>
              <w:textAlignment w:val="baseline"/>
              <w:rPr>
                <w:rFonts w:ascii="Times New Roman" w:hAnsi="Times New Roman"/>
                <w:sz w:val="20"/>
                <w:szCs w:val="20"/>
              </w:rPr>
            </w:pPr>
            <w:r>
              <w:rPr>
                <w:rFonts w:ascii="Times New Roman" w:hAnsi="Times New Roman"/>
                <w:sz w:val="20"/>
                <w:szCs w:val="20"/>
              </w:rPr>
              <w:t>Linear polarization is the baseline</w:t>
            </w:r>
          </w:p>
          <w:p w14:paraId="18F9AA96">
            <w:pPr>
              <w:pStyle w:val="16"/>
              <w:numPr>
                <w:ilvl w:val="1"/>
                <w:numId w:val="1"/>
              </w:numPr>
              <w:overflowPunct w:val="0"/>
              <w:autoSpaceDE w:val="0"/>
              <w:autoSpaceDN w:val="0"/>
              <w:adjustRightInd w:val="0"/>
              <w:spacing w:after="120"/>
              <w:ind w:firstLineChars="0"/>
              <w:contextualSpacing/>
              <w:textAlignment w:val="baseline"/>
              <w:rPr>
                <w:rFonts w:ascii="Times New Roman" w:hAnsi="Times New Roman"/>
                <w:sz w:val="20"/>
                <w:szCs w:val="20"/>
              </w:rPr>
            </w:pPr>
            <w:r>
              <w:rPr>
                <w:rFonts w:ascii="Times New Roman" w:hAnsi="Times New Roman"/>
                <w:sz w:val="20"/>
                <w:szCs w:val="20"/>
              </w:rPr>
              <w:t xml:space="preserve">Specify the required quiet zone to cover VSAT device type based on industry needs </w:t>
            </w:r>
          </w:p>
          <w:p w14:paraId="0C5BAD3E">
            <w:pPr>
              <w:pStyle w:val="16"/>
              <w:numPr>
                <w:ilvl w:val="2"/>
                <w:numId w:val="1"/>
              </w:numPr>
              <w:overflowPunct w:val="0"/>
              <w:autoSpaceDE w:val="0"/>
              <w:autoSpaceDN w:val="0"/>
              <w:adjustRightInd w:val="0"/>
              <w:spacing w:after="120"/>
              <w:ind w:firstLineChars="0"/>
              <w:contextualSpacing/>
              <w:textAlignment w:val="baseline"/>
              <w:rPr>
                <w:rFonts w:ascii="Times New Roman" w:hAnsi="Times New Roman"/>
                <w:sz w:val="20"/>
                <w:szCs w:val="20"/>
              </w:rPr>
            </w:pPr>
            <w:r>
              <w:rPr>
                <w:rFonts w:ascii="Times New Roman" w:hAnsi="Times New Roman"/>
                <w:sz w:val="20"/>
                <w:szCs w:val="20"/>
              </w:rPr>
              <w:t>60cm QZ as a starting point</w:t>
            </w:r>
          </w:p>
          <w:p w14:paraId="3A498A94">
            <w:pPr>
              <w:pStyle w:val="16"/>
              <w:numPr>
                <w:ilvl w:val="1"/>
                <w:numId w:val="1"/>
              </w:numPr>
              <w:overflowPunct w:val="0"/>
              <w:autoSpaceDE w:val="0"/>
              <w:autoSpaceDN w:val="0"/>
              <w:adjustRightInd w:val="0"/>
              <w:spacing w:after="120"/>
              <w:ind w:firstLineChars="0"/>
              <w:contextualSpacing/>
              <w:textAlignment w:val="baseline"/>
              <w:rPr>
                <w:rFonts w:hint="eastAsia" w:eastAsiaTheme="minorEastAsia"/>
                <w:b/>
                <w:bCs w:val="0"/>
                <w:vertAlign w:val="baseline"/>
                <w:lang w:val="en-US" w:eastAsia="zh-CN"/>
              </w:rPr>
            </w:pPr>
            <w:r>
              <w:rPr>
                <w:rFonts w:ascii="Times New Roman" w:hAnsi="Times New Roman"/>
                <w:sz w:val="20"/>
                <w:szCs w:val="20"/>
              </w:rPr>
              <w:t>Specify preliminary MU assessment for test methodologies</w:t>
            </w:r>
          </w:p>
        </w:tc>
      </w:tr>
    </w:tbl>
    <w:p w14:paraId="401270B7">
      <w:pPr>
        <w:jc w:val="both"/>
        <w:rPr>
          <w:rFonts w:hint="default" w:eastAsiaTheme="minorEastAsia"/>
          <w:highlight w:val="none"/>
          <w:lang w:val="en-US" w:eastAsia="zh-CN"/>
        </w:rPr>
      </w:pPr>
      <w:r>
        <w:rPr>
          <w:rFonts w:hint="eastAsia" w:eastAsiaTheme="minorEastAsia"/>
          <w:highlight w:val="none"/>
          <w:lang w:val="en-US" w:eastAsia="zh-CN"/>
        </w:rPr>
        <w:t>In this contribution, we provide our initial views on OTA test method for NTN Ka and Ku bands.</w:t>
      </w:r>
    </w:p>
    <w:p w14:paraId="3C04DC75">
      <w:pPr>
        <w:pStyle w:val="2"/>
        <w:jc w:val="both"/>
        <w:rPr>
          <w:rFonts w:eastAsia="宋体"/>
          <w:lang w:eastAsia="zh-CN"/>
        </w:rPr>
      </w:pPr>
      <w:r>
        <w:rPr>
          <w:lang w:eastAsia="zh-CN"/>
        </w:rPr>
        <w:t>2</w:t>
      </w:r>
      <w:r>
        <w:rPr>
          <w:lang w:eastAsia="zh-CN"/>
        </w:rPr>
        <w:tab/>
      </w:r>
      <w:r>
        <w:rPr>
          <w:rFonts w:eastAsia="宋体"/>
          <w:lang w:eastAsia="zh-CN"/>
        </w:rPr>
        <w:t>Discussion</w:t>
      </w:r>
      <w:bookmarkStart w:id="10" w:name="OLE_LINK3"/>
    </w:p>
    <w:p w14:paraId="6A8186C7">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eastAsia" w:eastAsiaTheme="minorEastAsia"/>
          <w:b w:val="0"/>
          <w:bCs/>
          <w:lang w:val="en-US" w:eastAsia="zh-CN"/>
        </w:rPr>
        <w:t>During the RAN#109 discussions for the new OTA test method WI for NTN Ka and Ku bands, multiple companies highlighted the necessity of prioritizing specific VSAT device types. Although the approved WID itself does not make such distinctions, the variations in device size, form factor, application scenario, and antenna design between different VSAT types (e.g., Fixed vs. Mobile) make it challenging to develop a single OTA test method for all VSAT types at once. Given that Fixed VSAT are typically larger than mobile VSAT, and considering that this WI has established a 60cm quiet zone as a starting point, which may not fit larger Fixed VSAT equipment, it is practical to address Mobile VSAT types initially.</w:t>
      </w:r>
    </w:p>
    <w:p w14:paraId="6486F238">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1: Prioritize Mobile VSAT types in this Work Item.</w:t>
      </w:r>
    </w:p>
    <w:p w14:paraId="03CA0D18">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The target of this WI is to define the OTA test method for both Ka and Ku bands. It can be observed that the Ka-bands (n512, n511, n510) fall within the defined FR2 range, whereas Ku-bands (n509, n508) operate in the 10-15 GHz range, which falls into the gap between FR1 and FR2. While reusing existing FR2 OTA test systems for Ka-band seems straightforward, there is currently no supported OTA test method for the Ku-band frequencies. The feasibility of testing Ku-band depends on whether existing test infrastructure can support it, requiring feedback from test system integrators on if FR2 systems can be extended down to this range or if FR1 systems can be upgraded to support higher frequencies up to 15 GHz.</w:t>
      </w:r>
    </w:p>
    <w:p w14:paraId="6C0D93D0">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default" w:eastAsiaTheme="minorEastAsia"/>
          <w:b/>
          <w:bCs w:val="0"/>
          <w:lang w:val="en-US" w:eastAsia="zh-CN"/>
        </w:rPr>
        <w:t>Proposal</w:t>
      </w:r>
      <w:r>
        <w:rPr>
          <w:rFonts w:hint="eastAsia" w:eastAsiaTheme="minorEastAsia"/>
          <w:b/>
          <w:bCs w:val="0"/>
          <w:lang w:val="en-US" w:eastAsia="zh-CN"/>
        </w:rPr>
        <w:t xml:space="preserve"> 2</w:t>
      </w:r>
      <w:r>
        <w:rPr>
          <w:rFonts w:hint="default" w:eastAsiaTheme="minorEastAsia"/>
          <w:b/>
          <w:bCs w:val="0"/>
          <w:lang w:val="en-US" w:eastAsia="zh-CN"/>
        </w:rPr>
        <w:t>: RAN4 collects feedback from test system integrators on the feasibility and potential solutions for OTA testing in the 10-15 GHz Ku-band, clarifying the capabilities of existing FR1 and FR2 systems to cover this frequency gap</w:t>
      </w:r>
      <w:r>
        <w:rPr>
          <w:rFonts w:hint="default" w:eastAsiaTheme="minorEastAsia"/>
          <w:b w:val="0"/>
          <w:bCs/>
          <w:lang w:val="en-US" w:eastAsia="zh-CN"/>
        </w:rPr>
        <w:t>.</w:t>
      </w:r>
    </w:p>
    <w:p w14:paraId="096CC306">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Another issue requiring careful consideration is the minimum range length required when applying a DFF chamber. In the WID, it is stated that FR2 OTA test methods (DFF, IFF, NFTF) extension is the first priority. In TR38.810 for FR2 OTA testing, the concept of a "gray box" is used, where the far-field distance is calculated based on the assumed radiating aperture diameter of the antenna, not the overall physical size of the device. 38.810 assumes a typical radiating aperture of D=5cm for FR2 handheld UE. This situation differs significantly for VSAT. For FR2 handheld devices, the mmWave antenna aperture is often much smaller than the device's physical form factor. However, for electronically steered VSAT, the device diameter may almost equivalent to the antenna's radiating aperture, resulting minimum far-field distance becomes substantially larger, potentially challenging the feasibility of testing in conventional DFF chambers.</w:t>
      </w:r>
    </w:p>
    <w:p w14:paraId="70645F0A">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3: RAN4 is recommended to analyze the minimum required range length for DFF-based OTA testing of VSATs and assess its feasibility of using existing chamber designs.</w:t>
      </w:r>
    </w:p>
    <w:bookmarkEnd w:id="10"/>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22972364">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1: Prioritize Mobile VSAT types in this Work Item.</w:t>
      </w:r>
    </w:p>
    <w:p w14:paraId="50AD5C30">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default" w:eastAsiaTheme="minorEastAsia"/>
          <w:b/>
          <w:bCs w:val="0"/>
          <w:lang w:val="en-US" w:eastAsia="zh-CN"/>
        </w:rPr>
        <w:t>Proposal</w:t>
      </w:r>
      <w:r>
        <w:rPr>
          <w:rFonts w:hint="eastAsia" w:eastAsiaTheme="minorEastAsia"/>
          <w:b/>
          <w:bCs w:val="0"/>
          <w:lang w:val="en-US" w:eastAsia="zh-CN"/>
        </w:rPr>
        <w:t xml:space="preserve"> 2</w:t>
      </w:r>
      <w:r>
        <w:rPr>
          <w:rFonts w:hint="default" w:eastAsiaTheme="minorEastAsia"/>
          <w:b/>
          <w:bCs w:val="0"/>
          <w:lang w:val="en-US" w:eastAsia="zh-CN"/>
        </w:rPr>
        <w:t>: RAN4 collects feedback from test system integrators on the feasibility and potential solutions for OTA testing in the 10-15 GHz Ku-band, clarifying the capabilities of existing FR1 and FR2 systems to cover this frequency gap</w:t>
      </w:r>
      <w:r>
        <w:rPr>
          <w:rFonts w:hint="default" w:eastAsiaTheme="minorEastAsia"/>
          <w:b w:val="0"/>
          <w:bCs/>
          <w:lang w:val="en-US" w:eastAsia="zh-CN"/>
        </w:rPr>
        <w:t>.</w:t>
      </w:r>
    </w:p>
    <w:p w14:paraId="754F49E6">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bCs w:val="0"/>
          <w:lang w:val="en-US" w:eastAsia="zh-CN"/>
        </w:rPr>
      </w:pPr>
      <w:r>
        <w:rPr>
          <w:rFonts w:hint="eastAsia" w:eastAsiaTheme="minorEastAsia"/>
          <w:b/>
          <w:bCs w:val="0"/>
          <w:lang w:val="en-US" w:eastAsia="zh-CN"/>
        </w:rPr>
        <w:t>Proposal 3: RAN4 is recommended to analyze the minimum required range length for DFF-based OTA testing of VSATs and assess its feasibility of using existing chamber designs.</w:t>
      </w:r>
    </w:p>
    <w:p w14:paraId="5EEE4E53">
      <w:pPr>
        <w:pStyle w:val="2"/>
        <w:ind w:left="0" w:firstLine="0"/>
      </w:pPr>
      <w:r>
        <w:t>References</w:t>
      </w:r>
    </w:p>
    <w:bookmarkEnd w:id="1"/>
    <w:bookmarkEnd w:id="2"/>
    <w:bookmarkEnd w:id="3"/>
    <w:p w14:paraId="478DA28E">
      <w:pPr>
        <w:pStyle w:val="40"/>
        <w:numPr>
          <w:ilvl w:val="0"/>
          <w:numId w:val="2"/>
        </w:numPr>
        <w:ind w:firstLineChars="0"/>
        <w:rPr>
          <w:rFonts w:hint="eastAsia" w:eastAsia="Malgun Gothic"/>
          <w:sz w:val="20"/>
          <w:szCs w:val="20"/>
          <w:lang w:val="en-US" w:eastAsia="zh-CN"/>
        </w:rPr>
      </w:pPr>
      <w:r>
        <w:rPr>
          <w:rFonts w:hint="eastAsia" w:eastAsia="Malgun Gothic"/>
          <w:sz w:val="20"/>
          <w:szCs w:val="20"/>
          <w:lang w:val="en-US" w:eastAsia="zh-CN"/>
        </w:rPr>
        <w:t>RP-252903</w:t>
      </w:r>
      <w:r>
        <w:rPr>
          <w:rFonts w:hint="eastAsia" w:eastAsia="Malgun Gothic"/>
          <w:sz w:val="20"/>
          <w:szCs w:val="20"/>
          <w:lang w:val="en-US" w:eastAsia="zh-CN"/>
        </w:rPr>
        <w:tab/>
      </w:r>
      <w:r>
        <w:rPr>
          <w:rFonts w:hint="eastAsia" w:eastAsia="Malgun Gothic"/>
          <w:sz w:val="20"/>
          <w:szCs w:val="20"/>
          <w:lang w:val="en-US" w:eastAsia="zh-CN"/>
        </w:rPr>
        <w:t>WID: Enhancement of UE OTA test method and requirements for NR,</w:t>
      </w:r>
      <w:r>
        <w:rPr>
          <w:rFonts w:hint="eastAsia" w:eastAsia="Malgun Gothic"/>
          <w:sz w:val="20"/>
          <w:szCs w:val="20"/>
          <w:lang w:val="en-US" w:eastAsia="zh-CN"/>
        </w:rPr>
        <w:tab/>
      </w:r>
      <w:r>
        <w:rPr>
          <w:rFonts w:hint="eastAsia" w:eastAsia="Malgun Gothic"/>
          <w:sz w:val="20"/>
          <w:szCs w:val="20"/>
          <w:lang w:val="en-US" w:eastAsia="zh-CN"/>
        </w:rPr>
        <w:t xml:space="preserve"> RAN#109</w:t>
      </w:r>
    </w:p>
    <w:p w14:paraId="5FBAD363">
      <w:pPr>
        <w:pStyle w:val="40"/>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6C87B17"/>
    <w:multiLevelType w:val="multilevel"/>
    <w:tmpl w:val="26C87B17"/>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AD5116"/>
    <w:rsid w:val="02252C42"/>
    <w:rsid w:val="02B7624C"/>
    <w:rsid w:val="02D2752A"/>
    <w:rsid w:val="04C9495C"/>
    <w:rsid w:val="04E946B9"/>
    <w:rsid w:val="05333EBB"/>
    <w:rsid w:val="062C0CFF"/>
    <w:rsid w:val="06DA35FE"/>
    <w:rsid w:val="06FC4B75"/>
    <w:rsid w:val="07D72EEC"/>
    <w:rsid w:val="0B09160F"/>
    <w:rsid w:val="0B0A4BEC"/>
    <w:rsid w:val="0B416FFB"/>
    <w:rsid w:val="0D42705A"/>
    <w:rsid w:val="0DCF28BA"/>
    <w:rsid w:val="0F372FF9"/>
    <w:rsid w:val="104D01F0"/>
    <w:rsid w:val="106716CE"/>
    <w:rsid w:val="10AA0E51"/>
    <w:rsid w:val="115C61ED"/>
    <w:rsid w:val="14131750"/>
    <w:rsid w:val="15E346C1"/>
    <w:rsid w:val="16161084"/>
    <w:rsid w:val="1720040C"/>
    <w:rsid w:val="182A67AD"/>
    <w:rsid w:val="19652BCB"/>
    <w:rsid w:val="19E913AB"/>
    <w:rsid w:val="19ED659F"/>
    <w:rsid w:val="1A0A1CE0"/>
    <w:rsid w:val="1A1104E0"/>
    <w:rsid w:val="1CCB2BC8"/>
    <w:rsid w:val="1DE06B47"/>
    <w:rsid w:val="1F1330A4"/>
    <w:rsid w:val="1F211421"/>
    <w:rsid w:val="1F3F164B"/>
    <w:rsid w:val="223C6316"/>
    <w:rsid w:val="243A2F7C"/>
    <w:rsid w:val="26270314"/>
    <w:rsid w:val="27FA6A57"/>
    <w:rsid w:val="29B95BC6"/>
    <w:rsid w:val="29FD5367"/>
    <w:rsid w:val="2BAA2CF4"/>
    <w:rsid w:val="2BDB094E"/>
    <w:rsid w:val="2C6A44EB"/>
    <w:rsid w:val="2D3227EF"/>
    <w:rsid w:val="2D8D5C78"/>
    <w:rsid w:val="2FE62223"/>
    <w:rsid w:val="31422411"/>
    <w:rsid w:val="34572B3B"/>
    <w:rsid w:val="36BC1970"/>
    <w:rsid w:val="372F4799"/>
    <w:rsid w:val="375D41C0"/>
    <w:rsid w:val="379A790F"/>
    <w:rsid w:val="37E312B6"/>
    <w:rsid w:val="3869010C"/>
    <w:rsid w:val="389B393F"/>
    <w:rsid w:val="39225E0E"/>
    <w:rsid w:val="3ADE5D64"/>
    <w:rsid w:val="3B5D4EDB"/>
    <w:rsid w:val="3BD6192C"/>
    <w:rsid w:val="3C153A08"/>
    <w:rsid w:val="3DF210E6"/>
    <w:rsid w:val="3E286C4C"/>
    <w:rsid w:val="3EA82911"/>
    <w:rsid w:val="3F0142EA"/>
    <w:rsid w:val="3F161C85"/>
    <w:rsid w:val="3FE61943"/>
    <w:rsid w:val="42982C9D"/>
    <w:rsid w:val="44953938"/>
    <w:rsid w:val="455B6F58"/>
    <w:rsid w:val="46741C23"/>
    <w:rsid w:val="468160C4"/>
    <w:rsid w:val="48606A7C"/>
    <w:rsid w:val="4BFE6267"/>
    <w:rsid w:val="4C161D2B"/>
    <w:rsid w:val="4DB72B71"/>
    <w:rsid w:val="520E0F94"/>
    <w:rsid w:val="52551E4F"/>
    <w:rsid w:val="539354E6"/>
    <w:rsid w:val="5402188F"/>
    <w:rsid w:val="56B75990"/>
    <w:rsid w:val="575842A9"/>
    <w:rsid w:val="582B3C8C"/>
    <w:rsid w:val="59F1681C"/>
    <w:rsid w:val="65441BB2"/>
    <w:rsid w:val="6578278E"/>
    <w:rsid w:val="67104F71"/>
    <w:rsid w:val="690A5435"/>
    <w:rsid w:val="6DFC7777"/>
    <w:rsid w:val="70903082"/>
    <w:rsid w:val="71A36941"/>
    <w:rsid w:val="71EC253A"/>
    <w:rsid w:val="73C61F74"/>
    <w:rsid w:val="74147B26"/>
    <w:rsid w:val="74BA5628"/>
    <w:rsid w:val="74D42B71"/>
    <w:rsid w:val="76017919"/>
    <w:rsid w:val="77A779CA"/>
    <w:rsid w:val="7B2A2362"/>
    <w:rsid w:val="7E3A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table" w:customStyle="1" w:styleId="43">
    <w:name w:val="TableGrid1"/>
    <w:basedOn w:val="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rynqvb"/>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818</Words>
  <Characters>4270</Characters>
  <Lines>38</Lines>
  <Paragraphs>10</Paragraphs>
  <TotalTime>0</TotalTime>
  <ScaleCrop>false</ScaleCrop>
  <LinksUpToDate>false</LinksUpToDate>
  <CharactersWithSpaces>5051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Zhu Siting</cp:lastModifiedBy>
  <dcterms:modified xsi:type="dcterms:W3CDTF">2025-10-03T16:57:06Z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739F6BB60B8D498E8538AFAE163FD96B_13</vt:lpwstr>
  </property>
  <property fmtid="{D5CDD505-2E9C-101B-9397-08002B2CF9AE}" pid="4" name="KSOTemplateDocerSaveRecord">
    <vt:lpwstr>eyJoZGlkIjoiOTU4MjljY2YzMDI1NGE4ZjYxYjczNDgxZmJjYzMzMTQiLCJ1c2VySWQiOiI0OTE3MDIwNzMifQ==</vt:lpwstr>
  </property>
</Properties>
</file>